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Pr="005D200D">
        <w:rPr>
          <w:rFonts w:ascii="Times New Roman" w:hAnsi="Times New Roman" w:cs="Times New Roman"/>
        </w:rPr>
        <w:t>00</w:t>
      </w:r>
      <w:r w:rsidR="005D200D" w:rsidRPr="005D200D">
        <w:rPr>
          <w:rFonts w:ascii="Times New Roman" w:hAnsi="Times New Roman" w:cs="Times New Roman"/>
        </w:rPr>
        <w:t>2</w:t>
      </w:r>
      <w:r w:rsidRPr="005D200D">
        <w:rPr>
          <w:rFonts w:ascii="Times New Roman" w:hAnsi="Times New Roman" w:cs="Times New Roman"/>
        </w:rPr>
        <w:t>/202</w:t>
      </w:r>
      <w:r w:rsidR="005D200D" w:rsidRPr="005D200D">
        <w:rPr>
          <w:rFonts w:ascii="Times New Roman" w:hAnsi="Times New Roman" w:cs="Times New Roman"/>
        </w:rPr>
        <w:t>5</w:t>
      </w:r>
      <w:r w:rsidRPr="005D200D">
        <w:rPr>
          <w:rFonts w:ascii="Times New Roman" w:hAnsi="Times New Roman" w:cs="Times New Roman"/>
        </w:rPr>
        <w:t>/SAP/D</w:t>
      </w:r>
      <w:r w:rsidR="002F66C1" w:rsidRPr="005D200D">
        <w:rPr>
          <w:rFonts w:ascii="Times New Roman" w:hAnsi="Times New Roman" w:cs="Times New Roman"/>
        </w:rPr>
        <w:t>PP</w:t>
      </w:r>
      <w:r w:rsidRPr="00244945">
        <w:rPr>
          <w:rFonts w:ascii="Times New Roman" w:hAnsi="Times New Roman" w:cs="Times New Roman"/>
        </w:rPr>
        <w:t>/,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5D200D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  <w:bookmarkStart w:id="0" w:name="_GoBack"/>
      <w:bookmarkEnd w:id="0"/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FB" w:rsidRDefault="002A52FB" w:rsidP="004C65AD">
      <w:pPr>
        <w:spacing w:after="0" w:line="240" w:lineRule="auto"/>
      </w:pPr>
      <w:r>
        <w:separator/>
      </w:r>
    </w:p>
  </w:endnote>
  <w:end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FB" w:rsidRDefault="002A52FB" w:rsidP="004C65AD">
      <w:pPr>
        <w:spacing w:after="0" w:line="240" w:lineRule="auto"/>
      </w:pPr>
      <w:r>
        <w:separator/>
      </w:r>
    </w:p>
  </w:footnote>
  <w:foot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Pr="004C65AD" w:rsidRDefault="002A52FB" w:rsidP="002A52FB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1497F527" wp14:editId="24A48C7F">
          <wp:simplePos x="0" y="0"/>
          <wp:positionH relativeFrom="page">
            <wp:posOffset>1119505</wp:posOffset>
          </wp:positionH>
          <wp:positionV relativeFrom="paragraph">
            <wp:posOffset>-113030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2A52FB" w:rsidRPr="004C65AD" w:rsidRDefault="002A52FB" w:rsidP="002A52FB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2A52FB" w:rsidRDefault="002A52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52FB"/>
    <w:rsid w:val="002A6C6B"/>
    <w:rsid w:val="002F66C1"/>
    <w:rsid w:val="003E6741"/>
    <w:rsid w:val="003F382A"/>
    <w:rsid w:val="004C65AD"/>
    <w:rsid w:val="005C7B18"/>
    <w:rsid w:val="005D200D"/>
    <w:rsid w:val="006139BF"/>
    <w:rsid w:val="00832AC7"/>
    <w:rsid w:val="00B867E6"/>
    <w:rsid w:val="00C10F47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7</cp:revision>
  <cp:lastPrinted>2023-12-05T23:40:00Z</cp:lastPrinted>
  <dcterms:created xsi:type="dcterms:W3CDTF">2023-11-23T23:57:00Z</dcterms:created>
  <dcterms:modified xsi:type="dcterms:W3CDTF">2025-02-17T16:58:00Z</dcterms:modified>
</cp:coreProperties>
</file>